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However, readability is more than just programming style.</w:t>
        <w:br/>
        <w:t>However, readability is more than just programming style.</w:t>
        <w:br/>
        <w:t>The following properties are among the most important:</w:t>
        <w:br/>
        <w:br/>
        <w:t xml:space="preserve"> In computer programming, readability refers to the ease with which a human reader can comprehend the purpose, control flow, and operation of source code.</w:t>
        <w:br/>
        <w:t>Some text editors such as Emacs allow GDB to be invoked through them, to provide a visual environment.</w:t>
        <w:br/>
        <w:t>For example, when a bug in a compiler can make it crash when parsing some large source file, a simplification of the test case that results in only few lines from the original source file can be sufficient to reproduce the same crash.</w:t>
        <w:br/>
        <w:t>Compilers harnessed the power of computers to make programming easier by allowing programmers to specify calculations by entering a formula using infix notation.</w:t>
        <w:br/>
        <w:t>The choice of language used is subject to many considerations, such as company policy, suitability to task, availability of third-party packages, or individual preference.</w:t>
        <w:br/>
        <w:t>However, with the concept of the stored-program computer introduced in 1949, both programs and data were stored and manipulated in the same way in computer memory.</w:t>
        <w:br/>
        <w:t xml:space="preserve"> The academic field and the engineering practice of computer programming are both largely concerned with discovering and implementing the most efficient algorithms for a given class of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Use of a static code analysis tool can help detect some possible problems.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After the bug is reproduced, the input of the program may need to be simplified to make it easier to debug.</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