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Many factors, having little or nothing to do with the ability of the computer to efficiently compile and execute the code, contribute to readability.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source code of a program is written in one or more languages that are intelligible to programmers, rather than machine code, which is directly executed by the central processing unit.</w:t>
        <w:br/>
        <w:t>Use of a static code analysis tool can help detect some possible problems.</w:t>
        <w:br/>
        <w:t>This can be a non-trivial task, for example as with parallel processes or some unusual software bugs.</w:t>
        <w:br/>
        <w:t>In the 9th century, the Arab mathematician Al-Kindi described a cryptographic algorithm for deciphering encrypted code, in A Manuscript on Deciphering Cryptographic Messages.</w:t>
        <w:br/>
        <w:t>As early as the 9th century, a programmable music sequencer was invented by the Persian Banu Musa brothers, who described an automated mechanical flute player in the Book of Ingenious Devices.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This is interpreted into machine code.</w:t>
        <w:br/>
        <w:t xml:space="preserve"> Following a consistent programming style often helps readability.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