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Text editors were also developed that allowed changes and corrections to be made much more easily than with punched cards.</w:t>
        <w:br/>
        <w:t>Many applications use a mix of several languages in their construction and use.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Provided the functions in a library follow the appropriate run-time conventions (e.g., method of passing arguments), then these functions may be written in any other language.</w:t>
        <w:br/>
        <w:t>Techniques like Code refactoring can enhance readability.</w:t>
        <w:br/>
        <w:t>Unreadable code often leads to bugs, inefficiencies, and duplicated code.</w:t>
        <w:br/>
        <w:t>Also, specific user environment and usage history can make it difficult to reproduce the problem.</w:t>
        <w:br/>
        <w:t>A study found that a few simple readability transformations made code shorter and drastically reduced the time to understand it.</w:t>
        <w:br/>
        <w:t>However, with the concept of the stored-program computer introduced in 1949, both programs and data were stored and manipulated in the same way in computer memory.</w:t>
        <w:br/>
        <w:t>He gave the first description of cryptanalysis by frequency analysis, the earliest code-breaking algorithm.</w:t>
        <w:br/>
        <w:t>Unreadable code often leads to bugs, inefficiencies, and duplicated code.</w:t>
        <w:br/>
        <w:t>This can be a non-trivial task, for example as with parallel processes or some unusual software bugs.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Techniques like Code refactoring can enhance readability.</w:t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