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There are many approaches to the Software development process.</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Readability is important because programmers spend the majority of their time reading, trying to understand, reusing and modifying existing source code, rather than writing new source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