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Transpiling on the other hand, takes the source-code from a high-level programming language and converts it into bytecode.</w:t>
        <w:br/>
        <w:t>Some text editors such as Emacs allow GDB to be invoked through them, to provide a visual environment.</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Transpiling on the other hand, takes the source-code from a high-level programming language and converts it into bytecode.</w:t>
        <w:br/>
        <w:t xml:space="preserve"> After the bug is reproduced, the input of the program may need to be simplified to make it easier to debug.</w:t>
        <w:br/>
        <w:t>However, because an assembly language is little more than a different notation for a machine language,  two machines with different instruction sets also have different assembly languages.</w:t>
        <w:br/>
        <w:t xml:space="preserve"> Debugging is often done with IDEs. Standalone debuggers like GDB are also used, and these often provide less of a visual environment, usually using a command line.</w:t>
        <w:br/>
        <w:t xml:space="preserve"> Programs were mostly entered using punched cards or paper tape.</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