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Transpiling on the other hand, takes the source-code from a high-level programming language and converts it into bytecode.</w:t>
        <w:br/>
        <w:t>There are many approaches to the Software development process.</w:t>
        <w:br/>
        <w:t>A study found that a few simple readability transformations made code shorter and drastically reduced the time to understand it.</w:t>
        <w:br/>
        <w:t>Provided the functions in a library follow the appropriate run-time conventions (e.g., method of passing arguments), then these functions may be written in any other language.</w:t>
        <w:br/>
        <w:t>However, readability is more than just programming style.</w:t>
        <w:br/>
        <w:t>Also, specific user environment and usage history can make it difficult to reproduce the problem.</w:t>
        <w:br/>
        <w:t>However, readability is more than just programming style.</w:t>
        <w:br/>
        <w:t>Integrated development environments (IDEs) aim to integrate all such help.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In the 9th century, the Arab mathematician Al-Kindi described a cryptographic algorithm for deciphering encrypted code, in A Manuscript on Deciphering Cryptographic Messages.</w:t>
        <w:br/>
        <w:t>For this purpose, algorithms are classified into orders using so-called Big O notation, which expresses resource use, such as execution time or memory consumption, in terms of the size of an input.</w:t>
        <w:br/>
        <w:t>Many factors, having little or nothing to do with the ability of the computer to efficiently compile and execute the code, contribute to readability.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