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However, readability is more than just programming style.</w:t>
        <w:br/>
        <w:t>It is usually easier to code in "high-level" languages than in "low-level" ones.</w:t>
        <w:br/>
        <w:t>However, Charles Babbage had already written his first program for the Analytical Engine in 1837.</w:t>
        <w:br/>
        <w:t>In 1801, the Jacquard loom could produce entirely different weaves by changing the "program" – a series of pasteboard cards with holes punched in them.</w:t>
        <w:br/>
        <w:t>Many applications use a mix of several languages in their construction and use.</w:t>
        <w:br/>
        <w:t>There exist a lot of different approaches for each of those tasks.</w:t>
        <w:br/>
        <w:t>In 1801, the Jacquard loom could produce entirely different weaves by changing the "program" – a series of pasteboard cards with holes punched in them.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languages are essential for software development.</w:t>
        <w:br/>
        <w:t>This is interpreted into machine code.</w:t>
        <w:br/>
        <w:t xml:space="preserve"> Popular modeling techniques include Object-Oriented Analysis and Design (OOAD) and Model-Driven Architecture (MDA).</w:t>
        <w:br/>
        <w:t>However, Charles Babbage had already written his first program for the Analytical Engine in 1837.</w:t>
        <w:br/>
        <w:t>However, Charles Babbage had already written his first program for the Analytical Engine in 1837.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