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Normally the first step in debugging is to attempt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Some text editors such as Emacs allow GDB to be invoked through them, to provide a visual environment.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He gave the first description of cryptanalysis by frequency analysis, the earliest code-breaking algorithm.</w:t>
        <w:br/>
        <w:t>Techniques like Code refactoring can enhance readability.</w:t>
        <w:br/>
        <w:t>Compiling takes the source code from a low-level programming language and converts it into machine code.</w:t>
        <w:br/>
        <w:t>Expert programmers are familiar with a variety of well-established algorithms and their respective complexities and use this knowledge to choose algorithms that are best suited to the circumstances.</w:t>
        <w:br/>
        <w:t>Proficient programming thus usually requires expertise in several different subjects, including knowledge of the application domain, specialized algorithms, and formal logic.</w:t>
        <w:br/>
        <w:t>Many applications use a mix of several languages in their construction and use.</w:t>
        <w:br/>
        <w:t>For example, COBOL is still strong in corporate data centers often on large mainframe computers, Fortran in engineering applications, scripting languages in Web development, and C in embedded software.</w:t>
        <w:br/>
        <w:t>When debugging the problem in a GUI, the programmer can try to skip some user interaction from the original problem description and check if remaining actions are sufficient for bugs to appear.</w:t>
        <w:br/>
        <w:t>This is interpreted into machine code.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