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In the 9th century, the Arab mathematician Al-Kindi described a cryptographic algorithm for deciphering encrypted code, in A Manuscript on Deciphering Cryptographic Messages.</w:t>
        <w:br/>
        <w:t>However, because an assembly language is little more than a different notation for a machine language,  two machines with different instruction sets also have different assembly languages.</w:t>
        <w:br/>
        <w:t>This can be a non-trivial task, for example as with parallel processes or some unusual software bugs.</w:t>
        <w:br/>
        <w:t>Compilers harnessed the power of computers to make programming easier by allowing programmers to specify calculations by entering a formula using infix notation.</w:t>
        <w:br/>
        <w:t>Trial-and-error/divide-and-conquer is needed: the programmer will try to remove some parts of the original test case and check if the problem still exists.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because an assembly language is little more than a different notation for a machine language,  two machines with different instruction sets also have different assembly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It affects the aspects of quality above, including portability, usability and most importantly maintainability.</w:t>
        <w:br/>
        <w:t>Relatedly, software engineering combines engineering techniques and principles with software development.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