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Techniques like Code refactoring can enhance readability.</w:t>
        <w:br/>
        <w:t>Expert programmers are familiar with a variety of well-established algorithms and their respective complexities and use this knowledge to choose algorithms that are best suited to the circumstances.</w:t>
        <w:br/>
        <w:t>Transpiling on the other hand, takes the source-code from a high-level programming language and converts it into bytecode.</w:t>
        <w:br/>
        <w:t>When debugging the problem in a GUI, the programmer can try to skip some user interaction from the original problem description and check if remaining actions are sufficient for bugs to appear.</w:t>
        <w:br/>
        <w:t>Compilers harnessed the power of computers to make programming easier by allowing programmers to specify calculations by entering a formula using infix notation.</w:t>
        <w:br/>
        <w:t>Some text editors such as Emacs allow GDB to be invoked through them, to provide a visual environment.</w:t>
        <w:br/>
        <w:t>Ideally, the programming language best suited for the task at hand will be selected.</w:t>
        <w:br/>
        <w:t>One approach popular for requirements analysis is Use Case analysis.</w:t>
        <w:br/>
        <w:t>Provided the functions in a library follow the appropriate run-time conventions (e.g., method of passing arguments), then these functions may be written in any other language.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Many applications use a mix of several languages in their construction and use.</w:t>
        <w:br/>
        <w:t>This can be a non-trivial task, for example as with parallel processes or some unusual software bugs.</w:t>
        <w:br/>
        <w:t>Compilers harnessed the power of computers to make programming easier by allowing programmers to specify calculations by entering a formula using infix notation.</w:t>
        <w:br/>
        <w:t>Ideally, the programming language best suited for the task at hand will be selected.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