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text editors such as Emacs allow GDB to be invoked through them, to provide a visual environment.</w:t>
        <w:br/>
        <w:t>Provided the functions in a library follow the appropriate run-time conventions (e.g., method of passing arguments), then these functions may be written in any other language.</w:t>
        <w:br/>
        <w:t>However, readability is more than just programming style.</w:t>
        <w:br/>
        <w:t>When debugging the problem in a GUI, the programmer can try to skip some user interaction from the original problem description and check if remaining actions are sufficient for bugs to appear.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1801, the Jacquard loom could produce entirely different weaves by changing the "program" – a series of pasteboard cards with holes punched in them.</w:t>
        <w:br/>
        <w:t>Expert programmers are familiar with a variety of well-established algorithms and their respective complexities and use this knowledge to choose algorithms that are best suited to the circumstances.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Unreadable code often leads to bugs, inefficiencies, and duplicated code.</w:t>
        <w:br/>
        <w:t>This can be a non-trivial task, for example as with parallel processes or some unusual software bugs.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