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Expert programmers are familiar with a variety of well-established algorithms and their respective complexities and use this knowledge to choose algorithms that are best suited to the circumstances.</w:t>
        <w:br/>
        <w:t>By the late 1960s, data storage devices and computer terminals became inexpensive enough that programs could be created by typing directly into the computers.</w:t>
        <w:br/>
        <w:t>Ideally, the programming language best suited for the task at hand will be selected.</w:t>
        <w:br/>
        <w:t>However, with the concept of the stored-program computer introduced in 1949, both programs and data were stored and manipulated in the same way in computer memory.</w:t>
        <w:br/>
        <w:t>It is usually easier to code in "high-level" languages than in "low-level" ones.</w:t>
        <w:br/>
        <w:t>Unreadable code often leads to bugs, inefficiencies, and duplicated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Trial-and-error/divide-and-conquer is needed: the programmer will try to remove some parts of the original test case and check if the problem still exists.</w:t>
        <w:br/>
        <w:t>They are the building blocks for all software, from the simplest applications to the most sophisticated ones.</w:t>
        <w:br/>
        <w:t>Expert programmers are familiar with a variety of well-established algorithms and their respective complexities and use this knowledge to choose algorithms that are best suited to the circumstances.</w:t>
        <w:br/>
        <w:t xml:space="preserve"> Allen Downey, in his book How To Think Like A Computer Scientist, writes:</w:t>
        <w:br/>
        <w:t xml:space="preserve"> Many computer languages provide a mechanism to call functions provided by shared libraries.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Allen Downey, in his book How To Think Like A Computer Scientist, writes:</w:t>
        <w:br/>
        <w:t xml:space="preserve"> Many computer languages provide a mechanism to call functions provided by shared libraries.</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