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Some text editors such as Emacs allow GDB to be invoked through them, to provide a visual environment.</w:t>
        <w:br/>
        <w:t>By the late 1960s, data storage devices and computer terminals became inexpensive enough that programs could be created by typing directly into the computers.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Transpiling on the other hand, takes the source-code from a high-level programming language and converts it into bytecode.</w:t>
        <w:b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 xml:space="preserve"> Different programming languages support different styles of programming (called programming paradigms).</w:t>
        <w:br/>
        <w:t>He gave the first description of cryptanalysis by frequency analysis, the earliest code-breaking algorithm.</w:t>
        <w:br/>
        <w:t>A study found that a few simple readability transformations made code shorter and drastically reduced the time to understand it.</w:t>
        <w:br/>
        <w:t xml:space="preserve"> After the bug is reproduced, the input of the program may need to be simplified to make it easier to debug.</w:t>
        <w:br/>
        <w:t>The following properties are among the most important:</w:t>
        <w:br/>
        <w:br/>
        <w:t xml:space="preserve"> In computer programming, readability refers to the ease with which a human reader can comprehend the purpose, control flow, and operation of source code.</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