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>However, readability is more than just programming style.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Scripting and breakpointing is also part of this process.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This is interpreted into machine code.</w:t>
        <w:br/>
        <w:t xml:space="preserve"> Programmable devices have existed for centuries.</w:t>
        <w:br/>
        <w:t xml:space="preserve"> Code-breaking algorithms have also existed for centuries.</w:t>
        <w:br/>
        <w:t>To produce machine code, the source code must either be compiled or transpiled.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