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Transpiling on the other hand, takes the source-code from a high-level programming language and converts it into bytecode.</w:t>
        <w:br/>
        <w:t>The choice of language used is subject to many considerations, such as company policy, suitability to task, availability of third-party packages, or individual preference.</w:t>
        <w:br/>
        <w:t>The following properties are among the most important:</w:t>
        <w:br/>
        <w:br/>
        <w:t xml:space="preserve"> In computer programming, readability refers to the ease with which a human reader can comprehend the purpose, control flow, and operation of source code.</w:t>
        <w:b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It is usually easier to code in "high-level" languages than in "low-level" ones.</w:t>
        <w:br/>
        <w:t>Techniques like Code refactoring can enhance readability.</w:t>
        <w:br/>
        <w:t>In 1801, the Jacquard loom could produce entirely different weaves by changing the "program" – a series of pasteboard cards with holes punched in them.</w:t>
        <w:br/>
        <w:t xml:space="preserve"> The academic field and the engineering practice of computer programming are both largely concerned with discovering and implementing the most efficient algorithms for a given class of problems.</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