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However, because an assembly language is little more than a different notation for a machine language,  two machines with different instruction sets also have different assembly languages.</w:t>
        <w:br/>
        <w:t>One approach popular for requirements analysis is Use Case analysis.</w:t>
        <w:br/>
        <w:t>By the late 1960s, data storage devices and computer terminals became inexpensive enough that programs could be created by typing directly into the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1206, the Arab engineer Al-Jazari invented a programmable drum machine where a musical mechanical automaton could be made to play different rhythms and drum patterns, via pegs and cams.</w:t>
        <w:br/>
        <w:t>There exist a lot of different approaches for each of those tasks.</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 xml:space="preserve"> After the bug is reproduced, the input of the program may need to be simplified to make it easier to debug.</w:t>
        <w:br/>
        <w:t xml:space="preserve"> Programmable devices have existed for centuries.</w:t>
        <w:br/>
        <w:t>Text editors were also developed that allowed changes and corrections to be made much more easily than with punched cards.</w:t>
        <w:br/>
        <w:t>Programming languages are essential for software development.</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