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Unreadable code often leads to bugs, inefficiencies, and duplicated code.</w:t>
        <w:br/>
        <w:t>Trial-and-error/divide-and-conquer is needed: the programmer will try to remove some parts of the original test case and check if the problem still exists.</w:t>
        <w:br/>
        <w:t>However, readability is more than just programming style.</w:t>
        <w:br/>
        <w:t>Compiling takes the source code from a low-level programming language and converts it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Expert programmers are familiar with a variety of well-established algorithms and their respective complexities and use this knowledge to choose algorithms that are best suited to the circumstances.</w:t>
        <w:br/>
        <w:t>By the late 1960s, data storage devices and computer terminals became inexpensive enough that programs could be created by typing directly into the computers.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Trial-and-error/divide-and-conquer is needed: the programmer will try to remove some parts of the original test case and check if the problem still exists.</w:t>
        <w:br/>
        <w:t>It affects the aspects of quality above, including portability, usability and most importantly maintainability.</w:t>
        <w:br/>
        <w:br/>
        <w:t>The first compiler related tool, the A-0 System, was developed in 1952 by Grace Hopper, who also coined the term 'compiler'.</w:t>
        <w:br/>
        <w:t>Expert programmers are familiar with a variety of well-established algorithms and their respective complexities and use this knowledge to choose algorithms that are best suited to the circumstances.</w:t>
        <w:br/>
        <w:t>As early as the 9th century, a programmable music sequencer was invented by the Persian Banu Musa brothers, who described an automated mechanical flute player in the Book of Ingenious Devices.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