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The source code of a program is written in one or more languages that are intelligible to programmers, rather than machine code, which is directly executed by the central processing unit.</w:t>
        <w:br/>
        <w:t>Trial-and-error/divide-and-conquer is needed: the programmer will try to remove some parts of the original test case and check if the problem still exists.</w:t>
        <w:br/>
        <w:t>Compiling takes the source code from a low-level programming language and converts it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Scripting and breakpointing is also part of this process.</w:t>
        <w:br/>
        <w:t>When debugging the problem in a GUI, the programmer can try to skip some user interaction from the original problem description and check if remaining actions are sufficient for bugs to appear.</w:t>
        <w:br/>
        <w:t>Techniques like Code refactoring can enhance readability.</w:t>
        <w:br/>
        <w:t>Proficient programming thus usually requires expertise in several different subjects, including knowledge of the application domain, specialized algorithms, and formal logic.</w:t>
        <w:br/>
        <w:t>He gave the first description of cryptanalysis by frequency analysis, the earliest code-breaking algorithm.</w:t>
        <w:br/>
        <w:t>Unreadable code often leads to bugs, inefficiencies, and duplicated code.</w:t>
        <w:br/>
        <w:t xml:space="preserve"> Machine code was the language of early programs, written in the instruction set of the particular machine, often in binary notation.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