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It affects the aspects of quality above, including portability, usability and most importantly maintainability.</w:t>
        <w:br/>
        <w:t>For example, when a bug in a compiler can make it crash when parsing some large source file, a simplification of the test case that results in only few lines from the original source file can be sufficient to reproduce the same crash.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Relatedly, software engineering combines engineering techniques and principles with software development.</w:t>
        <w:br/>
        <w:t>For example, COBOL is still strong in corporate data centers often on large mainframe computers, Fortran in engineering applications, scripting languages in Web development, and C in embedded software.</w:t>
        <w:br/>
        <w:t>Some languages are more prone to some kinds of faults because their specification does not require compilers to perform as much checking as other languages.</w:t>
        <w:br/>
        <w:t>Some languages are more prone to some kinds of faults because their specification does not require compilers to perform as much checking as other languages.</w:t>
        <w:br/>
        <w:t>However, Charles Babbage had already written his first program for the Analytical Engine in 1837.</w:t>
        <w:br/>
        <w:t>There exist a lot of different approaches for each of those tasks.</w:t>
        <w:br/>
        <w:t xml:space="preserve"> Readability is important because programmers spend the majority of their time reading, trying to understand, reusing and modifying existing source code, rather than writing new source code.</w:t>
        <w:br/>
        <w:t>Also, those involved with software development may at times engage in reverse engineering, which is the practice of seeking to understand an existing program so as to re-implement its function in some way.</w:t>
        <w:br/>
        <w:t>However, readability is more than just programming style.</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