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Compilers harnessed the power of computers to make programming easier by allowing programmers to specify calculations by entering a formula using infix notation.</w:t>
        <w:br/>
        <w:t>They are the building blocks for all software, from the simplest applications to the most sophisticated ones.</w:t>
        <w:br/>
        <w:t>Assembly languages were soon developed that let the programmer specify instruction in a text format (e.g., ADD X, TOTAL), with abbreviations for each operation code and meaningful names for specifying addresses.</w:t>
        <w:br/>
        <w:t>One approach popular for requirements analysis is Use Case analysis.</w:t>
        <w:br/>
        <w:t>Ideally, the programming language best suited for the task at hand will be selected.</w:t>
        <w:br/>
        <w:t>Provided the functions in a library follow the appropriate run-time conventions (e.g., method of passing arguments), then these functions may be written in any other language.</w:t>
        <w:br/>
        <w:t>The Unified Modeling Language (UML) is a notation used for both the OOAD and MDA.</w:t>
        <w:br/>
        <w:t>The Unified Modeling Language (UML) is a notation used for both the OOAD and MDA.</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 first computer program is generally dated to 1843, when mathematician Ada Lovelace published an algorithm to calculate a sequence of Bernoulli numbers, intended to be carried out by Charles Babbage's Analytical Engine.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