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There exist a lot of different approaches for each of those tasks.</w:t>
        <w:br/>
        <w:t>Also, specific user environment and usage history can make it difficult to reproduce the problem.</w:t>
        <w:br/>
        <w:t>Transpiling on the other hand, takes the source-code from a high-level programming language and converts it into bytecode.</w:t>
        <w:br/>
        <w:t>Proficient programming thus usually requires expertise in several different subjects, including knowledge of the application domain, specialized algorithms, and formal logic.</w:t>
        <w:br/>
        <w:t>As early as the 9th century, a programmable music sequencer was invented by the Persian Banu Musa brothers, who described an automated mechanical flute player in the Book of Ingenious Devices.</w:t>
        <w:br/>
        <w:t>Proficient programming thus usually requires expertise in several different subjects, including knowledge of the application domain, specialized algorithms, and formal logic.</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Different programming languages support different styles of programming (called programming paradigms).</w:t>
        <w:br/>
        <w:t>Proficient programming thus usually requires expertise in several different subjects, including knowledge of the application domain, specialized algorithms, and formal logic.</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Many applications use a mix of several languages in their construction and use.</w:t>
        <w:br/>
        <w:t>Some of these factors include:</w:t>
        <w:br/>
        <w:t xml:space="preserve"> The presentation aspects of this (such as indents, line breaks, color highlighting, and so on) are often handled by the source code editor, but the content aspects reflect the programmer's talent and skills.</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