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Compiling takes the source code from a low-level programming language and converts it into machine code.</w:t>
        <w:br/>
        <w:t>However, readability is more than just programming style.</w:t>
        <w:br/>
        <w:t>However, because an assembly language is little more than a different notation for a machine language,  two machines with different instruction sets also have different assembly languages.</w:t>
        <w:br/>
        <w:t>They are the building blocks for all software, from the simplest applications to the most sophisticated ones.</w:t>
        <w:br/>
        <w:t>Relatedly, software engineering combines engineering techniques and principles with software development.</w:t>
        <w:br/>
        <w:t>Many factors, having little or nothing to do with the ability of the computer to efficiently compile and execute the code, contribute to readability.</w:t>
        <w:br/>
        <w:t>They are the building blocks for all software, from the simplest applications to the most sophisticated ones.</w:t>
        <w:br/>
        <w:t>When debugging the problem in a GUI, the programmer can try to skip some user interaction from the original problem description and check if remaining actions are sufficient for bugs to appear.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Following a consistent programming style often helps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Following a consistent programming style often helps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