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For example, when a bug in a compiler can make it crash when parsing some large source file, a simplification of the test case that results in only few lines from the original source file can be sufficient to reproduce the same crash.</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Integrated development environments (IDEs) aim to integrate all such help.</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The source code of a program is written in one or more languages that are intelligible to programmers, rather than machine code, which is directly executed by the central processing unit.</w:t>
        <w:br/>
        <w:t>Normally the first step in debugging is to attempt to reproduce the problem.</w:t>
        <w:br/>
        <w:t>Integrated development environments (IDEs) aim to integrate all such help.</w:t>
        <w:br/>
        <w:t>Languages form an approximate spectrum from "low-level" to "high-level"; "low-level" languages are typically more machine-oriented and faster to execute, whereas "high-level" languages are more abstract and easier to use but execute less quickly.</w:t>
        <w:br/>
        <w:t xml:space="preserve"> Various visual programming languages have also been developed with the intent to resolve readability concerns by adopting non-traditional approaches to code structure and display.</w:t>
        <w:br/>
        <w:t xml:space="preserve"> Some languages are very popular for particular kinds of applications, while some languages are regularly used to write many different kinds of applications.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