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Many factors, having little or nothing to do with the ability of the computer to efficiently compile and execute the code, contribute to readability.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Also, specific user environment and usage history can make it difficult to reproduce the problem.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It is usually easier to code in "high-level" languages than in "low-level" ones.</w:t>
        <w:br/>
        <w:t>One approach popular for requirements analysis is Use Case analysis.</w:t>
        <w:br/>
        <w:t>In 1206, the Arab engineer Al-Jazari invented a programmable drum machine where a musical mechanical automaton could be made to play different rhythms and drum patterns, via pegs and cams.</w:t>
        <w:br/>
        <w:t>This is interpreted into machine code.</w:t>
        <w:br/>
        <w:t>For this purpose, algorithms are classified into orders using so-called Big O notation, which expresses resource use, such as execution time or memory consumption, in terms of the size of an input.</w:t>
        <w:br/>
        <w:t>However, readability is more than just programming style.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This can be a non-trivial task, for example as with parallel processes or some unusual software bugs.</w:t>
        <w:br/>
        <w:t>This is interpreted into machine code.</w:t>
        <w:br/>
        <w:t>They are the building blocks for all software, from the simplest applications to the most sophisticated ones.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