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Techniques like Code refactoring can enhance readability.</w:t>
        <w:br/>
        <w:t>In 1801, the Jacquard loom could produce entirely different weaves by changing the "program" – a series of pasteboard cards with holes punched in them.</w:t>
        <w:br/>
        <w:t>The Unified Modeling Language (UML) is a notation used for both the OOAD and MDA.</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Integrated development environments (IDEs) aim to integrate all such help.</w:t>
        <w:br/>
        <w:t>Normally the first step in debugging is to attempt to reproduce the problem.</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 xml:space="preserve"> Various visual programming languages have also been developed with the intent to resolve readability concerns by adopting non-traditional approaches to code structure and display.</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