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Compilers harnessed the power of computers to make programming easier by allowing programmers to specify calculations by entering a formula using infix notation.</w:t>
        <w:br/>
        <w:t>Provided the functions in a library follow the appropriate run-time conventions (e.g., method of passing arguments), then these functions may be written in any other language.</w:t>
        <w:br/>
        <w:t>Many factors, having little or nothing to do with the ability of the computer to efficiently compile and execute the code, contribute to readability.</w:t>
        <w:br/>
        <w:t>There are many approaches to the Software development process.</w:t>
        <w:br/>
        <w:t>He gave the first description of cryptanalysis by frequency analysis, the earliest code-breaking algorithm.</w:t>
        <w:br/>
        <w:t>Relatedly, software engineering combines engineering techniques and principles with software development.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because an assembly language is little more than a different notation for a machine language,  two machines with different instruction sets also have different assembly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