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However, because an assembly language is little more than a different notation for a machine language,  two machines with different instruction sets also have different assembly languages.</w:t>
        <w:br/>
        <w:t>Trial-and-error/divide-and-conquer is needed: the programmer will try to remove some parts of the original test case and check if the problem still exists.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 1801, the Jacquard loom could produce entirely different weaves by changing the "program" – a series of pasteboard cards with holes punched in them.</w:t>
        <w:br/>
        <w:t>Text editors were also developed that allowed changes and corrections to be made much more easily than with punched cards.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As early as the 9th century, a programmable music sequencer was invented by the Persian Banu Musa brothers, who described an automated mechanical flute player in the Book of Ingenious Devices.</w:t>
        <w:br/>
        <w:t>When debugging the problem in a GUI, the programmer can try to skip some user interaction from the original problem description and check if remaining actions are sufficient for bugs to appear.</w:t>
        <w:br/>
        <w:t>The Unified Modeling Language (UML) is a notation used for both the OOAD and MDA.</w:t>
        <w:br/>
        <w:t>Some text editors such as Emacs allow GDB to be invoked through them, to provide a visual environment.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By the late 1960s, data storage devices and computer terminals became inexpensive enough that programs could be created by typing directly into the computers.</w:t>
        <w:br/>
        <w:t>Normally the first step in debugging is to attempt to reproduce the problem.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