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The source code of a program is written in one or more languages that are intelligible to programmers, rather than machine code, which is directly executed by the central processing unit.</w:t>
        <w:br/>
        <w:t>When debugging the problem in a GUI, the programmer can try to skip some user interaction from the original problem description and check if remaining actions are sufficient for bugs to appear.</w:t>
        <w:br/>
        <w:t>Many programmers use forms of Agile software development where the various stages of formal software development are more integrated together into short cycles that take a few weeks rather than years.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To produce machine code, the source code must either be compiled or transpiled.</w:t>
        <w:br/>
        <w:t>However, with the concept of the stored-program computer introduced in 1949, both programs and data were stored and manipulated in the same way in computer memory.</w:t>
        <w:br/>
        <w:t>However, readability is more than just programming style.</w:t>
        <w:br/>
        <w:t>Many programmers use forms of Agile software development where the various stages of formal software development are more integrated together into short cycles that take a few weeks rather than years.</w:t>
        <w:br/>
        <w:t>Ideally, the programming language best suited for the task at hand will be selected.</w:t>
        <w:br/>
        <w:t>The Unified Modeling Language (UML) is a notation used for both the OOAD and MDA.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Some text editors such as Emacs allow GDB to be invoked through them, to provide a visual environment.</w:t>
        <w:br/>
        <w:t>Integrated development environments (IDEs) aim to integrate all such help.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