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Integrated development environments (IDEs) aim to integrate all such help.</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Some text editors such as Emacs allow GDB to be invoked through them, to provide a visual environment.</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