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However, Charles Babbage had already written his first program for the Analytical Engine in 1837.</w:t>
        <w:br/>
        <w:t>When debugging the problem in a GUI, the programmer can try to skip some user interaction from the original problem description and check if remaining actions are sufficient for bugs to appear.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When debugging the problem in a GUI, the programmer can try to skip some user interaction from the original problem description and check if remaining actions are sufficient for bugs to appear.</w:t>
        <w:br/>
        <w:t>Many factors, having little or nothing to do with the ability of the computer to efficiently compile and execute the code, contribute to readability.</w:t>
        <w:br/>
        <w:t>He gave the first description of cryptanalysis by frequency analysis, the earliest code-breaking algorithm.</w:t>
        <w:br/>
        <w:t>Compiling takes the source code from a low-level programming language and converts it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