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Integrated development environments (IDEs) aim to integrate all such help.</w:t>
        <w:br/>
        <w:t>Integrated development environments (IDEs) aim to integrate all such help.</w:t>
        <w:br/>
        <w:t>It is usually easier to code in "high-level" languages than in "low-level" ones.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Compiling takes the source code from a low-level programming language and converts it into machine code.</w:t>
        <w:br/>
        <w:t>Use of a static code analysis tool can help detect some possible problems.</w:t>
        <w:br/>
        <w:t>Many factors, having little or nothing to do with the ability of the computer to efficiently compile and execute the code, contribute to readability.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The choice of language used is subject to many considerations, such as company policy, suitability to task, availability of third-party packages, or individual preference.</w:t>
        <w:br/>
        <w:t>Integrated development environments (IDEs) aim to integrate all such help.</w:t>
        <w:br/>
        <w:t>Also, those involved with software development may at times engage in reverse engineering, which is the practice of seeking to understand an existing program so as to re-implement its function in some way.</w:t>
        <w:br/>
        <w:t xml:space="preserve"> It is very difficult to determine what are the most popular modern programming languages.</w:t>
        <w:br/>
        <w:t xml:space="preserve"> It is very difficult to determine what are the most popular modern programming languages.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