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Scripting and breakpointing is also part of this process.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Some languages are more prone to some kinds of faults because their specification does not require compilers to perform as much checking as other languages.</w:t>
        <w:br/>
        <w:t>However, Charles Babbage had already written his first program for the Analytical Engine in 1837.</w:t>
        <w:br/>
        <w:t xml:space="preserve"> Various visual programming languages have also been developed with the intent to resolve readability concerns by adopting non-traditional approaches to code structure and display.</w:t>
        <w:br/>
        <w:t>The source code of a program is written in one or more languages that are intelligible to programmers, rather than machine code, which is directly executed by the central processing unit.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