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Many factors, having little or nothing to do with the ability of the computer to efficiently compile and execute the code, contribute to readability.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readability is more than just programming style.</w:t>
        <w:br/>
        <w:t>However, with the concept of the stored-program computer introduced in 1949, both programs and data were stored and manipulated in the same way in computer memory.</w:t>
        <w:br/>
        <w:t>However, with the concept of the stored-program computer introduced in 1949, both programs and data were stored and manipulated in the same way in computer memory.</w:t>
        <w:br/>
        <w:t>It affects the aspects of quality above, including portability, usability and most importantly maintainability.</w:t>
        <w:br/>
        <w:t>He gave the first description of cryptanalysis by frequency analysis, the earliest code-breaking algorithm.</w:t>
        <w:br/>
        <w:t>Compilers harnessed the power of computers to make programming easier by allowing programmers to specify calculations by entering a formula using infix notation.</w:t>
        <w:br/>
        <w:t xml:space="preserve"> Programmable devices have existed for centuries.</w:t>
        <w:br/>
        <w:t xml:space="preserve"> Following a consistent programming style often helps readability.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In the 9th century, the Arab mathematician Al-Kindi described a cryptographic algorithm for deciphering encrypted code, in A Manuscript on Deciphering Cryptographic Messages.</w:t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