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By the late 1960s, data storage devices and computer terminals became inexpensive enough that programs could be created by typing directly into the computers.</w:t>
        <w:br/>
        <w:t>Transpiling on the other hand, takes the source-code from a high-level programming language and converts it into bytecode.</w:t>
        <w:br/>
        <w:t>For this purpose, algorithms are classified into orders using so-called Big O notation, which expresses resource use, such as execution time or memory consumption, in terms of the size of an input.</w:t>
        <w:b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He gave the first description of cryptanalysis by frequency analysis, the earliest code-breaking algorithm.</w:t>
        <w:br/>
        <w:t>For example, when a bug in a compiler can make it crash when parsing some large source file, a simplification of the test case that results in only few lines from the original source file can be sufficient to reproduce the same crash.</w:t>
        <w:br/>
        <w:t>He gave the first description of cryptanalysis by frequency analysis, the earliest code-breaking algorithm.</w:t>
        <w:br/>
        <w:t>Trial-and-error/divide-and-conquer is needed: the programmer will try to remove some parts of the original test case and check if the problem still exists.</w:t>
        <w:br/>
        <w:t>It is usually easier to code in "high-level" languages than in "low-level" ones.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