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Ideally, the programming language best suited for the task at hand will be selected.</w:t>
        <w:br/>
        <w:t>Use of a static code analysis tool can help detect some possible problems.</w:t>
        <w:br/>
        <w:t>This can be a non-trivial task, for example as with parallel processes or some unusual software bugs.</w:t>
        <w:br/>
        <w:t>When debugging the problem in a GUI, the programmer can try to skip some user interaction from the original problem description and check if remaining actions are sufficient for bugs to appear.</w:t>
        <w:br/>
        <w:t>There are many approaches to the Software development process.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This is interpreted into machine code.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For this purpose, algorithms are classified into orders using so-called Big O notation, which expresses resource use, such as execution time or memory consumption, in terms of the size of an input.</w:t>
        <w:br/>
        <w:t>Also, specific user environment and usage history can make it difficult to reproduce the problem.</w:t>
        <w:br/>
        <w:t xml:space="preserve"> Machine code was the language of early programs, written in the instruction set of the particular machine, often in binary notation.</w:t>
        <w:br/>
        <w:br/>
        <w:t xml:space="preserve"> Debugging is a very important task in the software development process since having defects in a program can have significant consequences for its users.</w:t>
        <w:br/>
        <w:t>He gave the first description of cryptanalysis by frequency analysis, the earliest code-breaking algorithm.</w:t>
        <w:br/>
        <w:t xml:space="preserve"> Programmable devices have existed for centuries.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