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>When debugging the problem in a GUI, the programmer can try to skip some user interaction from the original problem description and check if remaining actions are sufficient for bugs to appear.</w:t>
        <w:br/>
        <w:t>Integrated development environments (IDEs) aim to integrate all such help.</w:t>
        <w:br/>
        <w:t>Many applications use a mix of several languages in their construction and use.</w:t>
        <w:br/>
        <w:t>Unreadable code often leads to bugs, inefficiencies, and duplicated code.</w:t>
        <w:br/>
        <w:t>It is usually easier to code in "high-level" languages than in "low-level" ones.</w:t>
        <w:br/>
        <w:t>Some text editors such as Emacs allow GDB to be invoked through them, to provide a visual environment.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By the late 1960s, data storage devices and computer terminals became inexpensive enough that programs could be created by typing directly into the computers.</w:t>
        <w:br/>
        <w:t xml:space="preserve"> A similar technique used for database design is Entity-Relationship Modeling (ER Modeling).</w:t>
        <w:br/>
        <w:t xml:space="preserve"> Programmable devices have existed for centuries.</w:t>
        <w:br/>
        <w:t>However, because an assembly language is little more than a different notation for a machine language,  two machines with different instruction sets also have different assembly languages.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