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because an assembly language is little more than a different notation for a machine language,  two machines with different instruction sets also have different assembly languages.</w:t>
        <w:br/>
        <w:t>For example, COBOL is still strong in corporate data centers often on large mainframe computers, Fortran in engineering applications, scripting languages in Web development, and C in embedded software.</w:t>
        <w:br/>
        <w:t>Compilers harnessed the power of computers to make programming easier by allowing programmers to specify calculations by entering a formula using infix notation.</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languages are essential for software development.</w:t>
        <w:br/>
        <w:t>In the 9th century, the Arab mathematician Al-Kindi described a cryptographic algorithm for deciphering encrypted code, in A Manuscript on Deciphering Cryptographic Messages.</w:t>
        <w:br/>
        <w:t>Integrated development environments (IDEs) aim to integrate all such help.</w:t>
        <w:br/>
        <w:t xml:space="preserve"> Debugging is often done with IDEs. Standalone debuggers like GDB are also used, and these often provide less of a visual environment, usually using a command line.</w:t>
        <w:br/>
        <w:t>It is usually easier to code in "high-level" languages than in "low-level" ones.</w:t>
        <w:br/>
        <w:t xml:space="preserve"> Debugging is often done with IDEs. Standalone debuggers like GDB are also used, and these often provide less of a visual environment, usually using a command line.</w:t>
        <w:br/>
        <w:t xml:space="preserve"> Code-breaking algorithms have also existed for centuries.</w:t>
        <w:br/>
        <w:t xml:space="preserve"> Some languages are very popular for particular kinds of applications, while some languages are regularly used to write many different kinds of applications.</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