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The source code of a program is written in one or more languages that are intelligible to programmers, rather than machine code, which is directly executed by the central processing unit.</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When debugging the problem in a GUI, the programmer can try to skip some user interaction from the original problem description and check if remaining actions are sufficient for bugs to appear.</w:t>
        <w:br/>
        <w:t>Some languages are more prone to some kinds of faults because their specification does not require compilers to perform as much checking as other languages.</w:t>
        <w:br/>
        <w:t>However, because an assembly language is little more than a different notation for a machine language,  two machines with different instruction sets also have different assembly languages.</w:t>
        <w:br/>
        <w:t>The Unified Modeling Language (UML) is a notation used for both the OOAD and MDA.</w:t>
        <w:br/>
        <w:t>Expert programmers are familiar with a variety of well-established algorithms and their respective complexities and use this knowledge to choose algorithms that are best suited to the circumstances.</w:t>
        <w:br/>
        <w:t>In 1801, the Jacquard loom could produce entirely different weaves by changing the "program" – a series of pasteboard cards with holes punched in them.</w:t>
        <w:br/>
        <w:t xml:space="preserve"> In the 1880s, Herman Hollerith invented the concept of storing data in machine-readable form.</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Many applications use a mix of several languages in their construction and use.</w:t>
        <w:br/>
        <w:t xml:space="preserve"> Popular modeling techniques include Object-Oriented Analysis and Design (OOAD) and Model-Driven Architecture (MDA).</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