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However, with the concept of the stored-program computer introduced in 1949, both programs and data were stored and manipulated in the same way in computer memory.</w:t>
        <w:br/>
        <w:t>Expert programmers are familiar with a variety of well-established algorithms and their respective complexities and use this knowledge to choose algorithms that are best suited to the circumstances.</w:t>
        <w:br/>
        <w:t>The following properties are among the most important:</w:t>
        <w:br/>
        <w:br/>
        <w:t xml:space="preserve"> In computer programming, readability refers to the ease with which a human reader can comprehend the purpose, control flow, and operation of source code.</w:t>
        <w:br/>
        <w:t>Some languages are more prone to some kinds of faults because their specification does not require compilers to perform as much checking as other languages.</w:t>
        <w:br/>
        <w:t>Provided the functions in a library follow the appropriate run-time conventions (e.g., method of passing arguments), then these functions may be written in any other language.</w:t>
        <w:br/>
        <w:t>For example, when a bug in a compiler can make it crash when parsing some large source file, a simplification of the test case that results in only few lines from the original source file can be sufficient to reproduce the same crash.</w:t>
        <w:br/>
        <w:t>Languages form an approximate spectrum from "low-level" to "high-level"; "low-level" languages are typically more machine-oriented and faster to execute, whereas "high-level" languages are more abstract and easier to use but execute less quickly.</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Scripting and breakpointing is also part of this process.</w:t>
        <w:br/>
        <w:t>Normally the first step in debugging is to attempt to reproduce the problem.</w:t>
        <w:br/>
        <w:t xml:space="preserve"> High-level languages made the process of developing a program simpler and more understandable, and less bound to the underlying hardware.</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