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Transpiling on the other hand, takes the source-code from a high-level programming language and converts it into bytecode.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readability is more than just programming style.</w:t>
        <w:br/>
        <w:t>In 1206, the Arab engineer Al-Jazari invented a programmable drum machine where a musical mechanical automaton could be made to play different rhythms and drum patterns, via pegs and cams.</w:t>
        <w:br/>
        <w:t>When debugging the problem in a GUI, the programmer can try to skip some user interaction from the original problem description and check if remaining actions are sufficient for bugs to appear.</w:t>
        <w:br/>
        <w:t>However, because an assembly language is little more than a different notation for a machine language,  two machines with different instruction sets also have different assembly languages.</w:t>
        <w:br/>
        <w:t>By the late 1960s, data storage devices and computer terminals became inexpensive enough that programs could be created by typing directly into the computers.</w:t>
        <w:br/>
        <w:t>This can be a non-trivial task, for example as with parallel processes or some unusual software bugs.</w:t>
        <w:br/>
        <w:br/>
        <w:t>The first compiler related tool, the A-0 System, was developed in 1952 by Grace Hopper, who also coined the term 'compiler'.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Different programming languages support different styles of programming (called programming paradigms).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