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Assembly languages were soon developed that let the programmer specify instruction in a text format (e.g., ADD X, TOTAL), with abbreviations for each operation code and meaningful names for specifying addresses.</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br/>
        <w:t>In the 9th century, the Arab mathematician Al-Kindi described a cryptographic algorithm for deciphering encrypted code, in A Manuscript on Deciphering Cryptographic Messages.</w:t>
        <w:br/>
        <w:t>A study found that a few simple readability transformations made code shorter and drastically reduced the time to understand it.</w:t>
        <w:br/>
        <w:t>This is interpreted into machine code.</w:t>
        <w:br/>
        <w:t>One approach popular for requirements analysis is Use Case analysis.</w:t>
        <w:br/>
        <w:t>In the 9th century, the Arab mathematician Al-Kindi described a cryptographic algorithm for deciphering encrypted code, in A Manuscript on Deciphering Cryptographic Messages.</w:t>
        <w:br/>
        <w:t>Compiling takes the source code from a low-level programming language and converts it into machine code.</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