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Trial-and-error/divide-and-conquer is needed: the programmer will try to remove some parts of the original test case and check if the problem still exists.</w:t>
        <w:br/>
        <w:t>Integrated development environments (IDEs) aim to integrate all such help.</w:t>
        <w:br/>
        <w:t>Trade-offs from this ideal involve finding enough programmers who know the language to build a team, the availability of compilers for that language, and the efficiency with which programs written in a given language execute.</w:t>
        <w:br/>
        <w:t>In 1206, the Arab engineer Al-Jazari invented a programmable drum machine where a musical mechanical automaton could be made to play different rhythms and drum patterns, via pegs and cams.</w:t>
        <w:br/>
        <w:t>However, readability is more than just programming style.</w:t>
        <w:br/>
        <w:t>For this purpose, algorithms are classified into orders using so-called Big O notation, which expresses resource use, such as execution time or memory consumption, in terms of the size of an input.</w:t>
        <w:br/>
        <w:t>Programming languages are essential for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of these factors include:</w:t>
        <w:br/>
        <w:t xml:space="preserve"> The presentation aspects of this (such as indents, line breaks, color highlighting, and so on) are often handled by the source code editor, but the content aspects reflect the programmer's talent and skills.</w:t>
        <w:br/>
        <w:t>One approach popular for requirements analysis is Use Case analysis.</w:t>
        <w:br/>
        <w:t xml:space="preserve"> Some languages are very popular for particular kinds of applications, while some languages are regularly used to write many different kinds of applications.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Code-breaking algorithms have also existed for centuries.</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