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However, Charles Babbage had already written his first program for the Analytical Engine in 1837.</w:t>
        <w:br/>
        <w:t>Some text editors such as Emacs allow GDB to be invoked through them, to provide a visual environment.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is interpreted into machine code.</w:t>
        <w:br/>
        <w:t>Some languages are more prone to some kinds of faults because their specification does not require compilers to perform as much checking as other languages.</w:t>
        <w:br/>
        <w:t>Provided the functions in a library follow the appropriate run-time conventions (e.g., method of passing arguments), then these functions may be written in any other language.</w:t>
        <w:br/>
        <w:t>Many programmers use forms of Agile software development where the various stages of formal software development are more integrated together into short cycles that take a few weeks rather than years.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 early as the 9th century, a programmable music sequencer was invented by the Persian Banu Musa brothers, who described an automated mechanical flute player in the Book of Ingenious Devices.</w:t>
        <w:br/>
        <w:t>Assembly languages were soon developed that let the programmer specify instruction in a text format (e.g., ADD X, TOTAL), with abbreviations for each operation code and meaningful names for specifying addresses.</w:t>
        <w:br/>
        <w:t>Transpiling on the other hand, takes the source-code from a high-level programming language and converts it into bytecode.</w:t>
        <w:br/>
        <w:t>Compiling takes the source code from a low-level programming language and converts it into machine code.</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