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For example, COBOL is still strong in corporate data centers often on large mainframe computers, Fortran in engineering applications, scripting languages in Web development, and C in embedded software.</w:t>
        <w:br/>
        <w:t>Trial-and-error/divide-and-conquer is needed: the programmer will try to remove some parts of the original test case and check if the problem still exists.</w:t>
        <w:br/>
        <w:t>Many factors, having little or nothing to do with the ability of the computer to efficiently compile and execute the code, contribute to readability.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He gave the first description of cryptanalysis by frequency analysis, the earliest code-breaking algorithm.</w:t>
        <w:br/>
        <w:t>Scripting and breakpointing is also part of this process.</w:t>
        <w:br/>
        <w:t>Also, those involved with software development may at times engage in reverse engineering, which is the practice of seeking to understand an existing program so as to re-implement its function in some way.</w:t>
        <w:br/>
        <w:t>Some text editors such as Emacs allow GDB to be invoked through them, to provide a visual environment.</w:t>
        <w:br/>
        <w:t>In 1206, the Arab engineer Al-Jazari invented a programmable drum machine where a musical mechanical automaton could be made to play different rhythms and drum patterns, via pegs and cams.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with the concept of the stored-program computer introduced in 1949, both programs and data were stored and manipulated in the same way in computer memory.</w:t>
        <w:br/>
        <w:t>However, Charles Babbage had already written his first program for the Analytical Engine in 1837.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