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Unreadable code often leads to bugs, inefficiencies, and duplicated code.</w:t>
        <w:br/>
        <w:t>To produce machine code, the source code must either be compiled or transpiled.</w:t>
        <w:br/>
        <w:t>The source code of a program is written in one or more languages that are intelligible to programmers, rather than machine code, which is directly executed by the central processing unit.</w:t>
        <w:br/>
        <w:t>However, Charles Babbage had already written his first program for the Analytical Engine in 1837.</w:t>
        <w:br/>
        <w:t>Many factors, having little or nothing to do with the ability of the computer to efficiently compile and execute the code, contribute to readability.</w:t>
        <w:br/>
        <w:t>Programming involves tasks such as analysis, generating algorithms, profiling algorithms' accuracy and resource consumption, and the implementation of algorithms (usually in a particular programming language, commonly referred to as coding).</w:t>
        <w:br/>
        <w:t>It affects the aspects of quality above, including portability, usability and most importantly maintainability.</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 xml:space="preserve"> Programs were mostly entered using punched cards or paper tape.</w:t>
        <w:br/>
        <w:t>He gave the first description of cryptanalysis by frequency analysis, the earliest code-breaking algorithm.</w:t>
        <w:br/>
        <w:t>When debugging the problem in a GUI, the programmer can try to skip some user interaction from the original problem description and check if remaining actions are sufficient for bugs to appear.</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