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Compiling takes the source code from a low-level programming language and converts it into machine code.</w:t>
        <w:br/>
        <w:t>In the 9th century, the Arab mathematician Al-Kindi described a cryptographic algorithm for deciphering encrypted code, in A Manuscript on Deciphering Cryptographic Messages.</w:t>
        <w:br/>
        <w:t>However, readability is more than just programming style.</w:t>
        <w:br/>
        <w:t>When debugging the problem in a GUI, the programmer can try to skip some user interaction from the original problem description and check if remaining actions are sufficient for bugs to appear.</w:t>
        <w:br/>
        <w:t>In the 9th century, the Arab mathematician Al-Kindi described a cryptographic algorithm for deciphering encrypted code, in A Manuscript on Deciphering Cryptographic Messages.</w:t>
        <w:br/>
        <w:t>However, with the concept of the stored-program computer introduced in 1949, both programs and data were stored and manipulated in the same way in computer memory.</w:t>
        <w:br/>
        <w:t>When debugging the problem in a GUI, the programmer can try to skip some user interaction from the original problem description and check if remaining actions are sufficient for bugs to appear.</w:t>
        <w:br/>
        <w:t>A study found that a few simple readability transformations made code shorter and drastically reduced the time to understand it.</w:t>
        <w:br/>
        <w:t xml:space="preserve"> Debugging is often done with IDEs. Standalone debuggers like GDB are also used, and these often provide less of a visual environment, usually using a command line.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He gave the first description of cryptanalysis by frequency analysis, the earliest code-breaking algorithm.</w:t>
        <w:br/>
        <w:t>Some languages are more prone to some kinds of faults because their specification does not require compilers to perform as much checking as other languages.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