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It is usually easier to code in "high-level" languages than in "low-level" ones.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There exist a lot of different approaches for each of those tasks.</w:t>
        <w:br/>
        <w:t>Unreadable code often leads to bugs, inefficiencies, and duplicated code.</w:t>
        <w:br/>
        <w:t>However, because an assembly language is little more than a different notation for a machine language,  two machines with different instruction sets also have different assembly languages.</w:t>
        <w:br/>
        <w:t>However, with the concept of the stored-program computer introduced in 1949, both programs and data were stored and manipulated in the same way in computer memory.</w:t>
        <w:br/>
        <w:t>Compiling takes the source code from a low-level programming language and converts it into machine code.</w:t>
        <w:br/>
        <w:t xml:space="preserve"> A similar technique used for database design is Entity-Relationship Modeling (ER Modeling).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By the late 1960s, data storage devices and computer terminals became inexpensive enough that programs could be created by typing directly into the computers.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Implementation techniques include imperative languages (object-oriented or procedural), functional languages, and logic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