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Integrated development environments (IDEs) aim to integrate all such help.</w:t>
        <w:br/>
        <w:t>There exist a lot of different approaches for each of those tasks.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Transpiling on the other hand, takes the source-code from a high-level programming language and converts it into bytecode.</w:t>
        <w:br/>
        <w:t>For example, COBOL is still strong in corporate data centers often on large mainframe computers, Fortran in engineering applications, scripting languages in Web development, and C in embedded software.</w:t>
        <w:br/>
        <w:t>By the late 1960s, data storage devices and computer terminals became inexpensive enough that programs could be created by typing directly into the computers.</w:t>
        <w:br/>
        <w:t>Unreadable code often leads to bugs, inefficiencies, and duplicated code.</w:t>
        <w:br/>
        <w:t xml:space="preserve"> A similar technique used for database design is Entity-Relationship Modeling (ER Modeling).</w:t>
        <w:br/>
        <w:t>However, Charles Babbage had already written his first program for the Analytical Engine in 1837.</w:t>
        <w:br/>
        <w:t>Programming languages are essential for software development.</w:t>
        <w:br/>
        <w:t xml:space="preserve"> In the 1880s, Herman Hollerith invented the concept of storing data in machine-readable form.</w:t>
        <w:br/>
        <w:t xml:space="preserve"> Various visual programming languages have also been developed with the intent to resolve readability concerns by adopting non-traditional approaches to code structure and display.</w:t>
        <w:br/>
        <w:t>However, because an assembly language is little more than a different notation for a machine language,  two machines with different instruction sets also have different assembly languages.</w:t>
        <w:br/>
        <w:t>Techniques like Code refactoring can enhance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