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Techniques like Code refactoring can enhance readability.</w:t>
        <w:br/>
        <w:t>Relatedly, software engineering combines engineering techniques and principles with software development.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1801, the Jacquard loom could produce entirely different weaves by changing the "program" – a series of pasteboard cards with holes punched in them.</w:t>
        <w:br/>
        <w:t>However, with the concept of the stored-program computer introduced in 1949, both programs and data were stored and manipulated in the same way in computer memory.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applications use a mix of several languages in their construction and use.</w:t>
        <w:br/>
        <w:t>It is usually easier to code in "high-level" languages than in "low-level" ones.</w:t>
        <w:br/>
        <w:t>Many applications use a mix of several languages in their construction and use.</w:t>
        <w:br/>
        <w:t>Some text editors such as Emacs allow GDB to be invoked through them, to provide a visual environment.</w:t>
        <w:br/>
        <w:t xml:space="preserve"> Debugging is often done with IDEs. Standalone debuggers like GDB are also used, and these often provide less of a visual environment, usually using a command line.</w:t>
        <w:br/>
        <w:t>In 1801, the Jacquard loom could produce entirely different weaves by changing the "program" – a series of pasteboard cards with holes punched in them.</w:t>
        <w:br/>
        <w:t xml:space="preserve"> Various visual programming languages have also been developed with the intent to resolve readability concerns by adopting non-traditional approaches to code structure and display.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