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In 1801, the Jacquard loom could produce entirely different weaves by changing the "program" – a series of pasteboard cards with holes punched in them.</w:t>
        <w:br/>
        <w:t>A study found that a few simple readability transformations made code shorter and drastically reduced the time to understand it.</w:t>
        <w:br/>
        <w:t>However, Charles Babbage had already written his first program for the Analytical Engine in 1837.</w:t>
        <w:br/>
        <w:t>Transpiling on the other hand, takes the source-code from a high-level programming language and converts it into bytecode.</w:t>
        <w:br/>
        <w:t>When debugging the problem in a GUI, the programmer can try to skip some user interaction from the original problem description and check if remaining actions are sufficient for bugs to appear.</w:t>
        <w:br/>
        <w:t>To produce machine code, the source code must either be compiled or transpiled.</w:t>
        <w:br/>
        <w:t>In the 9th century, the Arab mathematician Al-Kindi described a cryptographic algorithm for deciphering encrypted code, in A Manuscript on Deciphering Cryptographic Messages.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Whatever the approach to development may be, the final program must satisfy some fundamental properties.</w:t>
        <w:br/>
        <w:t>Many factors, having little or nothing to do with the ability of the computer to efficiently compile and execute the code, contribute to readability.</w:t>
        <w:br/>
        <w:t xml:space="preserve"> Different programming languages support different styles of programming (called programming paradigms).</w:t>
        <w:br/>
        <w:t>Some text editors such as Emacs allow GDB to be invoked through them, to provide a visual environment.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